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91CEC" w14:textId="46A6BE75" w:rsidR="00082D88" w:rsidRDefault="00D9678B" w:rsidP="00082D88">
      <w:pPr>
        <w:rPr>
          <w:rFonts w:ascii="Arial" w:hAnsi="Arial" w:cs="Arial"/>
          <w:sz w:val="22"/>
          <w:szCs w:val="22"/>
        </w:rPr>
      </w:pPr>
      <w:r w:rsidRPr="00CF1B72">
        <w:rPr>
          <w:rFonts w:ascii="Arial" w:hAnsi="Arial" w:cs="Arial"/>
          <w:noProof/>
          <w:color w:val="184596"/>
          <w:sz w:val="22"/>
          <w:szCs w:val="22"/>
        </w:rPr>
        <w:drawing>
          <wp:anchor distT="0" distB="0" distL="114300" distR="114300" simplePos="0" relativeHeight="251659264" behindDoc="0" locked="0" layoutInCell="1" allowOverlap="1" wp14:anchorId="663656E7" wp14:editId="2643C9CE">
            <wp:simplePos x="0" y="0"/>
            <wp:positionH relativeFrom="column">
              <wp:posOffset>3624580</wp:posOffset>
            </wp:positionH>
            <wp:positionV relativeFrom="paragraph">
              <wp:posOffset>-3175</wp:posOffset>
            </wp:positionV>
            <wp:extent cx="2318385" cy="460375"/>
            <wp:effectExtent l="0" t="0" r="5715" b="0"/>
            <wp:wrapNone/>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WH_logo_rgb_po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18385" cy="460375"/>
                    </a:xfrm>
                    <a:prstGeom prst="rect">
                      <a:avLst/>
                    </a:prstGeom>
                  </pic:spPr>
                </pic:pic>
              </a:graphicData>
            </a:graphic>
            <wp14:sizeRelH relativeFrom="page">
              <wp14:pctWidth>0</wp14:pctWidth>
            </wp14:sizeRelH>
            <wp14:sizeRelV relativeFrom="page">
              <wp14:pctHeight>0</wp14:pctHeight>
            </wp14:sizeRelV>
          </wp:anchor>
        </w:drawing>
      </w:r>
      <w:r w:rsidRPr="00CF1B72">
        <w:rPr>
          <w:rFonts w:ascii="Arial" w:hAnsi="Arial" w:cs="Arial"/>
          <w:noProof/>
          <w:color w:val="184596"/>
          <w:sz w:val="22"/>
          <w:szCs w:val="22"/>
        </w:rPr>
        <w:drawing>
          <wp:anchor distT="0" distB="0" distL="114300" distR="114300" simplePos="0" relativeHeight="251663360" behindDoc="0" locked="0" layoutInCell="1" allowOverlap="1" wp14:anchorId="2062B544" wp14:editId="75E9D2AA">
            <wp:simplePos x="0" y="0"/>
            <wp:positionH relativeFrom="column">
              <wp:posOffset>3625850</wp:posOffset>
            </wp:positionH>
            <wp:positionV relativeFrom="paragraph">
              <wp:posOffset>1097280</wp:posOffset>
            </wp:positionV>
            <wp:extent cx="1774825" cy="443865"/>
            <wp:effectExtent l="0" t="0" r="3175" b="635"/>
            <wp:wrapNone/>
            <wp:docPr id="8" name="Picture 8"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oa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482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664384" behindDoc="0" locked="0" layoutInCell="1" allowOverlap="1" wp14:anchorId="1DC33E78" wp14:editId="56402575">
            <wp:simplePos x="0" y="0"/>
            <wp:positionH relativeFrom="column">
              <wp:posOffset>3510280</wp:posOffset>
            </wp:positionH>
            <wp:positionV relativeFrom="paragraph">
              <wp:posOffset>1617980</wp:posOffset>
            </wp:positionV>
            <wp:extent cx="2397760" cy="5822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0105 DFHCC edit-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760" cy="582295"/>
                    </a:xfrm>
                    <a:prstGeom prst="rect">
                      <a:avLst/>
                    </a:prstGeom>
                  </pic:spPr>
                </pic:pic>
              </a:graphicData>
            </a:graphic>
            <wp14:sizeRelH relativeFrom="page">
              <wp14:pctWidth>0</wp14:pctWidth>
            </wp14:sizeRelH>
            <wp14:sizeRelV relativeFrom="page">
              <wp14:pctHeight>0</wp14:pctHeight>
            </wp14:sizeRelV>
          </wp:anchor>
        </w:drawing>
      </w:r>
      <w:r w:rsidRPr="00CF1B72">
        <w:rPr>
          <w:rFonts w:ascii="Arial" w:hAnsi="Arial" w:cs="Arial"/>
          <w:noProof/>
          <w:color w:val="184596"/>
          <w:sz w:val="22"/>
          <w:szCs w:val="22"/>
        </w:rPr>
        <w:drawing>
          <wp:anchor distT="0" distB="0" distL="114300" distR="114300" simplePos="0" relativeHeight="251661312" behindDoc="0" locked="0" layoutInCell="1" allowOverlap="1" wp14:anchorId="184BA698" wp14:editId="70BF7047">
            <wp:simplePos x="0" y="0"/>
            <wp:positionH relativeFrom="column">
              <wp:posOffset>3629074</wp:posOffset>
            </wp:positionH>
            <wp:positionV relativeFrom="paragraph">
              <wp:posOffset>408940</wp:posOffset>
            </wp:positionV>
            <wp:extent cx="1841500" cy="718820"/>
            <wp:effectExtent l="0" t="0" r="0" b="0"/>
            <wp:wrapNone/>
            <wp:docPr id="12" name="Picture 1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vard-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1500" cy="718820"/>
                    </a:xfrm>
                    <a:prstGeom prst="rect">
                      <a:avLst/>
                    </a:prstGeom>
                  </pic:spPr>
                </pic:pic>
              </a:graphicData>
            </a:graphic>
            <wp14:sizeRelH relativeFrom="page">
              <wp14:pctWidth>0</wp14:pctWidth>
            </wp14:sizeRelH>
            <wp14:sizeRelV relativeFrom="page">
              <wp14:pctHeight>0</wp14:pctHeight>
            </wp14:sizeRelV>
          </wp:anchor>
        </w:drawing>
      </w:r>
      <w:r w:rsidR="00082D88">
        <w:rPr>
          <w:rFonts w:ascii="Arial" w:hAnsi="Arial" w:cs="Arial"/>
          <w:noProof/>
          <w:sz w:val="22"/>
          <w:szCs w:val="22"/>
        </w:rPr>
        <w:drawing>
          <wp:inline distT="0" distB="0" distL="0" distR="0" wp14:anchorId="3639BB0A" wp14:editId="1666AF02">
            <wp:extent cx="3232087" cy="2154725"/>
            <wp:effectExtent l="0" t="0" r="0" b="4445"/>
            <wp:docPr id="1" name="Picture 1" descr="A tall building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533641931_c79e3a6501_b.jpg"/>
                    <pic:cNvPicPr/>
                  </pic:nvPicPr>
                  <pic:blipFill>
                    <a:blip r:embed="rId8">
                      <a:extLst>
                        <a:ext uri="{28A0092B-C50C-407E-A947-70E740481C1C}">
                          <a14:useLocalDpi xmlns:a14="http://schemas.microsoft.com/office/drawing/2010/main" val="0"/>
                        </a:ext>
                      </a:extLst>
                    </a:blip>
                    <a:stretch>
                      <a:fillRect/>
                    </a:stretch>
                  </pic:blipFill>
                  <pic:spPr>
                    <a:xfrm>
                      <a:off x="0" y="0"/>
                      <a:ext cx="3250185" cy="2166790"/>
                    </a:xfrm>
                    <a:prstGeom prst="rect">
                      <a:avLst/>
                    </a:prstGeom>
                  </pic:spPr>
                </pic:pic>
              </a:graphicData>
            </a:graphic>
          </wp:inline>
        </w:drawing>
      </w:r>
    </w:p>
    <w:p w14:paraId="7E1E74F9" w14:textId="73E805D4" w:rsidR="00082D88" w:rsidRDefault="00082D88" w:rsidP="00082D88">
      <w:pPr>
        <w:rPr>
          <w:rFonts w:ascii="Arial" w:hAnsi="Arial" w:cs="Arial"/>
          <w:sz w:val="22"/>
          <w:szCs w:val="22"/>
        </w:rPr>
      </w:pPr>
    </w:p>
    <w:p w14:paraId="4A7E26F0" w14:textId="5657F42B" w:rsidR="00082D88" w:rsidRDefault="00082D88" w:rsidP="00082D88">
      <w:pPr>
        <w:rPr>
          <w:rFonts w:ascii="Arial" w:hAnsi="Arial" w:cs="Arial"/>
          <w:sz w:val="22"/>
          <w:szCs w:val="22"/>
        </w:rPr>
      </w:pPr>
    </w:p>
    <w:p w14:paraId="073EF190" w14:textId="77777777" w:rsidR="00611141" w:rsidRDefault="00611141" w:rsidP="00082D88">
      <w:pPr>
        <w:rPr>
          <w:rFonts w:ascii="Arial" w:hAnsi="Arial" w:cs="Arial"/>
          <w:sz w:val="22"/>
          <w:szCs w:val="22"/>
        </w:rPr>
      </w:pPr>
    </w:p>
    <w:p w14:paraId="5CECA666" w14:textId="650E36C1" w:rsidR="00082D88" w:rsidRPr="00082D88" w:rsidRDefault="00082D88" w:rsidP="00082D88">
      <w:pPr>
        <w:jc w:val="center"/>
        <w:rPr>
          <w:rFonts w:ascii="Arial" w:hAnsi="Arial" w:cs="Arial"/>
          <w:b/>
          <w:bCs/>
          <w:sz w:val="22"/>
          <w:szCs w:val="22"/>
          <w:u w:val="single"/>
        </w:rPr>
      </w:pPr>
      <w:r w:rsidRPr="00082D88">
        <w:rPr>
          <w:rFonts w:ascii="Arial" w:hAnsi="Arial" w:cs="Arial"/>
          <w:b/>
          <w:bCs/>
          <w:sz w:val="22"/>
          <w:szCs w:val="22"/>
          <w:u w:val="single"/>
        </w:rPr>
        <w:t xml:space="preserve">Postdoc positions available </w:t>
      </w:r>
      <w:r w:rsidR="00871300">
        <w:rPr>
          <w:rFonts w:ascii="Arial" w:hAnsi="Arial" w:cs="Arial"/>
          <w:b/>
          <w:bCs/>
          <w:sz w:val="22"/>
          <w:szCs w:val="22"/>
          <w:u w:val="single"/>
        </w:rPr>
        <w:t>in</w:t>
      </w:r>
      <w:r w:rsidRPr="00082D88">
        <w:rPr>
          <w:rFonts w:ascii="Arial" w:hAnsi="Arial" w:cs="Arial"/>
          <w:b/>
          <w:bCs/>
          <w:sz w:val="22"/>
          <w:szCs w:val="22"/>
          <w:u w:val="single"/>
        </w:rPr>
        <w:t xml:space="preserve"> the van Galen laboratory</w:t>
      </w:r>
    </w:p>
    <w:p w14:paraId="31CA009F" w14:textId="491244F7" w:rsidR="00082D88" w:rsidRPr="00082D88" w:rsidRDefault="00082D88" w:rsidP="00082D88">
      <w:pPr>
        <w:jc w:val="center"/>
        <w:rPr>
          <w:rFonts w:ascii="Arial" w:hAnsi="Arial" w:cs="Arial"/>
          <w:b/>
          <w:bCs/>
          <w:sz w:val="22"/>
          <w:szCs w:val="22"/>
        </w:rPr>
      </w:pPr>
      <w:r w:rsidRPr="00082D88">
        <w:rPr>
          <w:rFonts w:ascii="Arial" w:hAnsi="Arial" w:cs="Arial"/>
          <w:b/>
          <w:bCs/>
          <w:sz w:val="22"/>
          <w:szCs w:val="22"/>
        </w:rPr>
        <w:t>Boston, MA, USA</w:t>
      </w:r>
    </w:p>
    <w:p w14:paraId="2D86AC07" w14:textId="1B1D15F9" w:rsidR="00082D88" w:rsidRDefault="00082D88" w:rsidP="00082D88">
      <w:pPr>
        <w:rPr>
          <w:rFonts w:ascii="Arial" w:hAnsi="Arial" w:cs="Arial"/>
          <w:sz w:val="22"/>
          <w:szCs w:val="22"/>
        </w:rPr>
      </w:pPr>
    </w:p>
    <w:p w14:paraId="45E0A648" w14:textId="77777777" w:rsidR="00611141" w:rsidRDefault="00611141" w:rsidP="00082D88">
      <w:pPr>
        <w:rPr>
          <w:rFonts w:ascii="Arial" w:hAnsi="Arial" w:cs="Arial"/>
          <w:sz w:val="22"/>
          <w:szCs w:val="22"/>
        </w:rPr>
      </w:pPr>
    </w:p>
    <w:p w14:paraId="2970A01D" w14:textId="35613912" w:rsidR="00082D88" w:rsidRPr="00082D88" w:rsidRDefault="00082D88" w:rsidP="00D9678B">
      <w:pPr>
        <w:jc w:val="both"/>
        <w:rPr>
          <w:rFonts w:ascii="Arial" w:hAnsi="Arial" w:cs="Arial"/>
          <w:b/>
          <w:bCs/>
          <w:sz w:val="22"/>
          <w:szCs w:val="22"/>
        </w:rPr>
      </w:pPr>
      <w:r w:rsidRPr="00082D88">
        <w:rPr>
          <w:rFonts w:ascii="Arial" w:hAnsi="Arial" w:cs="Arial"/>
          <w:b/>
          <w:bCs/>
          <w:sz w:val="22"/>
          <w:szCs w:val="22"/>
        </w:rPr>
        <w:t xml:space="preserve">The </w:t>
      </w:r>
      <w:r w:rsidR="00D23877">
        <w:rPr>
          <w:rFonts w:ascii="Arial" w:hAnsi="Arial" w:cs="Arial"/>
          <w:b/>
          <w:bCs/>
          <w:sz w:val="22"/>
          <w:szCs w:val="22"/>
        </w:rPr>
        <w:t>L</w:t>
      </w:r>
      <w:r w:rsidRPr="00082D88">
        <w:rPr>
          <w:rFonts w:ascii="Arial" w:hAnsi="Arial" w:cs="Arial"/>
          <w:b/>
          <w:bCs/>
          <w:sz w:val="22"/>
          <w:szCs w:val="22"/>
        </w:rPr>
        <w:t>aboratory</w:t>
      </w:r>
    </w:p>
    <w:p w14:paraId="22826156" w14:textId="3DA2F954" w:rsidR="00082D88" w:rsidRPr="00082D88" w:rsidRDefault="00082D88" w:rsidP="00D9678B">
      <w:pPr>
        <w:jc w:val="both"/>
        <w:rPr>
          <w:rFonts w:ascii="Arial" w:hAnsi="Arial" w:cs="Arial"/>
          <w:sz w:val="22"/>
          <w:szCs w:val="22"/>
        </w:rPr>
      </w:pPr>
      <w:r w:rsidRPr="00082D88">
        <w:rPr>
          <w:rFonts w:ascii="Arial" w:hAnsi="Arial" w:cs="Arial"/>
          <w:sz w:val="22"/>
          <w:szCs w:val="22"/>
        </w:rPr>
        <w:t xml:space="preserve">The van Galen laboratory is recruiting postdoctoral fellows to perform groundbreaking research on normal and malignant hematopoiesis. We develop and apply experimental and computational methods to push the technological boundaries that limit our current understanding of the development and progression of </w:t>
      </w:r>
      <w:r w:rsidR="008C4AFD">
        <w:rPr>
          <w:rFonts w:ascii="Arial" w:hAnsi="Arial" w:cs="Arial"/>
          <w:sz w:val="22"/>
          <w:szCs w:val="22"/>
        </w:rPr>
        <w:t>leukemia.</w:t>
      </w:r>
      <w:r w:rsidRPr="00082D88">
        <w:rPr>
          <w:rFonts w:ascii="Arial" w:hAnsi="Arial" w:cs="Arial"/>
          <w:sz w:val="22"/>
          <w:szCs w:val="22"/>
        </w:rPr>
        <w:t xml:space="preserve"> </w:t>
      </w:r>
      <w:r w:rsidR="008C4AFD">
        <w:rPr>
          <w:rFonts w:ascii="Arial" w:hAnsi="Arial" w:cs="Arial"/>
          <w:sz w:val="22"/>
          <w:szCs w:val="22"/>
        </w:rPr>
        <w:t>W</w:t>
      </w:r>
      <w:r w:rsidRPr="00082D88">
        <w:rPr>
          <w:rFonts w:ascii="Arial" w:hAnsi="Arial" w:cs="Arial"/>
          <w:sz w:val="22"/>
          <w:szCs w:val="22"/>
        </w:rPr>
        <w:t>ith a focus</w:t>
      </w:r>
      <w:r w:rsidR="00871300">
        <w:rPr>
          <w:rFonts w:ascii="Arial" w:hAnsi="Arial" w:cs="Arial"/>
          <w:sz w:val="22"/>
          <w:szCs w:val="22"/>
        </w:rPr>
        <w:t xml:space="preserve"> on</w:t>
      </w:r>
      <w:r w:rsidRPr="00082D88">
        <w:rPr>
          <w:rFonts w:ascii="Arial" w:hAnsi="Arial" w:cs="Arial"/>
          <w:sz w:val="22"/>
          <w:szCs w:val="22"/>
        </w:rPr>
        <w:t xml:space="preserve"> myeloid </w:t>
      </w:r>
      <w:r w:rsidR="008C4AFD">
        <w:rPr>
          <w:rFonts w:ascii="Arial" w:hAnsi="Arial" w:cs="Arial"/>
          <w:sz w:val="22"/>
          <w:szCs w:val="22"/>
        </w:rPr>
        <w:t>malignancies, w</w:t>
      </w:r>
      <w:r w:rsidRPr="00082D88">
        <w:rPr>
          <w:rFonts w:ascii="Arial" w:hAnsi="Arial" w:cs="Arial"/>
          <w:sz w:val="22"/>
          <w:szCs w:val="22"/>
        </w:rPr>
        <w:t xml:space="preserve">e aim to understand epigenetic and transcriptional factors that contribute to clonal expansions by integrating multiple layers of information using single-cell technologies and computational innovations. We also study stress signaling in leukemia cells, in particular to explore if altered metabolic and proteomic states </w:t>
      </w:r>
      <w:r w:rsidR="00A3481A">
        <w:rPr>
          <w:rFonts w:ascii="Arial" w:hAnsi="Arial" w:cs="Arial"/>
          <w:sz w:val="22"/>
          <w:szCs w:val="22"/>
        </w:rPr>
        <w:t>lead to</w:t>
      </w:r>
      <w:r w:rsidRPr="00082D88">
        <w:rPr>
          <w:rFonts w:ascii="Arial" w:hAnsi="Arial" w:cs="Arial"/>
          <w:sz w:val="22"/>
          <w:szCs w:val="22"/>
        </w:rPr>
        <w:t xml:space="preserve"> </w:t>
      </w:r>
      <w:r w:rsidR="00A7727D">
        <w:rPr>
          <w:rFonts w:ascii="Arial" w:hAnsi="Arial" w:cs="Arial"/>
          <w:sz w:val="22"/>
          <w:szCs w:val="22"/>
        </w:rPr>
        <w:t>acute myeloid leukemia</w:t>
      </w:r>
      <w:r w:rsidRPr="00082D88">
        <w:rPr>
          <w:rFonts w:ascii="Arial" w:hAnsi="Arial" w:cs="Arial"/>
          <w:sz w:val="22"/>
          <w:szCs w:val="22"/>
        </w:rPr>
        <w:t xml:space="preserve"> cell vulnerabilities that can be therapeutically target</w:t>
      </w:r>
      <w:r>
        <w:rPr>
          <w:rFonts w:ascii="Arial" w:hAnsi="Arial" w:cs="Arial"/>
          <w:sz w:val="22"/>
          <w:szCs w:val="22"/>
        </w:rPr>
        <w:t>e</w:t>
      </w:r>
      <w:r w:rsidRPr="00082D88">
        <w:rPr>
          <w:rFonts w:ascii="Arial" w:hAnsi="Arial" w:cs="Arial"/>
          <w:sz w:val="22"/>
          <w:szCs w:val="22"/>
        </w:rPr>
        <w:t>d</w:t>
      </w:r>
      <w:r w:rsidR="00A7727D">
        <w:rPr>
          <w:rFonts w:ascii="Arial" w:hAnsi="Arial" w:cs="Arial"/>
          <w:sz w:val="22"/>
          <w:szCs w:val="22"/>
        </w:rPr>
        <w:t>. The ultimate goal is to improve the lives of leukemia patients.</w:t>
      </w:r>
    </w:p>
    <w:p w14:paraId="7EDCDD15" w14:textId="14C5CFEC" w:rsidR="00082D88" w:rsidRDefault="00082D88" w:rsidP="00D9678B">
      <w:pPr>
        <w:jc w:val="both"/>
        <w:rPr>
          <w:rFonts w:ascii="Arial" w:hAnsi="Arial" w:cs="Arial"/>
          <w:sz w:val="22"/>
          <w:szCs w:val="22"/>
        </w:rPr>
      </w:pPr>
    </w:p>
    <w:p w14:paraId="03C64377" w14:textId="77777777" w:rsidR="00611141" w:rsidRDefault="00611141" w:rsidP="00D9678B">
      <w:pPr>
        <w:jc w:val="both"/>
        <w:rPr>
          <w:rFonts w:ascii="Arial" w:hAnsi="Arial" w:cs="Arial"/>
          <w:sz w:val="22"/>
          <w:szCs w:val="22"/>
        </w:rPr>
      </w:pPr>
    </w:p>
    <w:p w14:paraId="05530E91" w14:textId="217B9670" w:rsidR="00082D88" w:rsidRDefault="00082D88" w:rsidP="00D9678B">
      <w:pPr>
        <w:jc w:val="both"/>
        <w:rPr>
          <w:rFonts w:ascii="Arial" w:hAnsi="Arial" w:cs="Arial"/>
          <w:b/>
          <w:bCs/>
          <w:sz w:val="22"/>
          <w:szCs w:val="22"/>
        </w:rPr>
      </w:pPr>
      <w:r>
        <w:rPr>
          <w:rFonts w:ascii="Arial" w:hAnsi="Arial" w:cs="Arial"/>
          <w:b/>
          <w:bCs/>
          <w:sz w:val="22"/>
          <w:szCs w:val="22"/>
        </w:rPr>
        <w:t xml:space="preserve">The </w:t>
      </w:r>
      <w:r w:rsidR="00D23877">
        <w:rPr>
          <w:rFonts w:ascii="Arial" w:hAnsi="Arial" w:cs="Arial"/>
          <w:b/>
          <w:bCs/>
          <w:sz w:val="22"/>
          <w:szCs w:val="22"/>
        </w:rPr>
        <w:t>Institute</w:t>
      </w:r>
    </w:p>
    <w:p w14:paraId="432BB1B0" w14:textId="5C994E70" w:rsidR="00D9678B" w:rsidRDefault="00A7727D" w:rsidP="00D9678B">
      <w:pPr>
        <w:jc w:val="both"/>
        <w:rPr>
          <w:rFonts w:ascii="Arial" w:hAnsi="Arial" w:cs="Arial"/>
          <w:sz w:val="22"/>
          <w:szCs w:val="22"/>
        </w:rPr>
      </w:pPr>
      <w:r>
        <w:rPr>
          <w:rFonts w:ascii="Arial" w:hAnsi="Arial" w:cs="Arial"/>
          <w:sz w:val="22"/>
          <w:szCs w:val="22"/>
        </w:rPr>
        <w:t xml:space="preserve">The van Galen laboratory is located in the Harvard Institutes of Medicine </w:t>
      </w:r>
      <w:r w:rsidR="00A3481A">
        <w:rPr>
          <w:rFonts w:ascii="Arial" w:hAnsi="Arial" w:cs="Arial"/>
          <w:sz w:val="22"/>
          <w:szCs w:val="22"/>
        </w:rPr>
        <w:t>b</w:t>
      </w:r>
      <w:r>
        <w:rPr>
          <w:rFonts w:ascii="Arial" w:hAnsi="Arial" w:cs="Arial"/>
          <w:sz w:val="22"/>
          <w:szCs w:val="22"/>
        </w:rPr>
        <w:t xml:space="preserve">uilding, 4 Blackfan Circle, </w:t>
      </w:r>
      <w:r w:rsidR="00D41A86">
        <w:rPr>
          <w:rFonts w:ascii="Arial" w:hAnsi="Arial" w:cs="Arial"/>
          <w:sz w:val="22"/>
          <w:szCs w:val="22"/>
        </w:rPr>
        <w:t xml:space="preserve">in the </w:t>
      </w:r>
      <w:bookmarkStart w:id="0" w:name="_GoBack"/>
      <w:bookmarkEnd w:id="0"/>
      <w:r w:rsidR="00D41A86">
        <w:rPr>
          <w:rFonts w:ascii="Arial" w:hAnsi="Arial" w:cs="Arial"/>
          <w:sz w:val="22"/>
          <w:szCs w:val="22"/>
        </w:rPr>
        <w:t>center of the Longwood Medical Area</w:t>
      </w:r>
      <w:r>
        <w:rPr>
          <w:rFonts w:ascii="Arial" w:hAnsi="Arial" w:cs="Arial"/>
          <w:sz w:val="22"/>
          <w:szCs w:val="22"/>
        </w:rPr>
        <w:t>. Our primary affiliation</w:t>
      </w:r>
      <w:r w:rsidR="00A3481A">
        <w:rPr>
          <w:rFonts w:ascii="Arial" w:hAnsi="Arial" w:cs="Arial"/>
          <w:sz w:val="22"/>
          <w:szCs w:val="22"/>
        </w:rPr>
        <w:t>s are</w:t>
      </w:r>
      <w:r>
        <w:rPr>
          <w:rFonts w:ascii="Arial" w:hAnsi="Arial" w:cs="Arial"/>
          <w:sz w:val="22"/>
          <w:szCs w:val="22"/>
        </w:rPr>
        <w:t xml:space="preserve"> the Brigham and Women’s Hospital </w:t>
      </w:r>
      <w:r w:rsidR="00A3481A">
        <w:rPr>
          <w:rFonts w:ascii="Arial" w:hAnsi="Arial" w:cs="Arial"/>
          <w:sz w:val="22"/>
          <w:szCs w:val="22"/>
        </w:rPr>
        <w:t xml:space="preserve">Division of Hematology and Harvard Medical School </w:t>
      </w:r>
      <w:r>
        <w:rPr>
          <w:rFonts w:ascii="Arial" w:hAnsi="Arial" w:cs="Arial"/>
          <w:sz w:val="22"/>
          <w:szCs w:val="22"/>
        </w:rPr>
        <w:t xml:space="preserve">Department of Medicine. The laboratory works closely with the Broad Institute of Harvard and MIT and is a member of the Dana-Farber/Harvard Cancer Center. </w:t>
      </w:r>
      <w:r w:rsidR="00D9678B">
        <w:rPr>
          <w:rFonts w:ascii="Arial" w:hAnsi="Arial" w:cs="Arial"/>
          <w:sz w:val="22"/>
          <w:szCs w:val="22"/>
        </w:rPr>
        <w:t xml:space="preserve">These institutions house scientific and clinical experts in a wide variety of areas, enabling interactions with a myriad of collaborators and communities. We have access to state-of-the-art facilities for genomics, </w:t>
      </w:r>
      <w:r w:rsidR="00A5198A">
        <w:rPr>
          <w:rFonts w:ascii="Arial" w:hAnsi="Arial" w:cs="Arial"/>
          <w:sz w:val="22"/>
          <w:szCs w:val="22"/>
        </w:rPr>
        <w:t xml:space="preserve">computational biology, </w:t>
      </w:r>
      <w:r w:rsidR="00D9678B">
        <w:rPr>
          <w:rFonts w:ascii="Arial" w:hAnsi="Arial" w:cs="Arial"/>
          <w:sz w:val="22"/>
          <w:szCs w:val="22"/>
        </w:rPr>
        <w:t xml:space="preserve">single-cell analyses, flow cytometry, etc. These rich resources allow </w:t>
      </w:r>
      <w:r w:rsidR="00611141">
        <w:rPr>
          <w:rFonts w:ascii="Arial" w:hAnsi="Arial" w:cs="Arial"/>
          <w:sz w:val="22"/>
          <w:szCs w:val="22"/>
        </w:rPr>
        <w:t>laboratory members</w:t>
      </w:r>
      <w:r w:rsidR="00D9678B">
        <w:rPr>
          <w:rFonts w:ascii="Arial" w:hAnsi="Arial" w:cs="Arial"/>
          <w:sz w:val="22"/>
          <w:szCs w:val="22"/>
        </w:rPr>
        <w:t xml:space="preserve"> to thrive in a supportive and well-equipped environment.</w:t>
      </w:r>
    </w:p>
    <w:p w14:paraId="55D9D912" w14:textId="6816DE95" w:rsidR="00D23877" w:rsidRDefault="00D23877" w:rsidP="00D9678B">
      <w:pPr>
        <w:jc w:val="both"/>
        <w:rPr>
          <w:rFonts w:ascii="Arial" w:hAnsi="Arial" w:cs="Arial"/>
          <w:b/>
          <w:bCs/>
          <w:sz w:val="22"/>
          <w:szCs w:val="22"/>
        </w:rPr>
      </w:pPr>
    </w:p>
    <w:p w14:paraId="5065D65D" w14:textId="77777777" w:rsidR="00611141" w:rsidRDefault="00611141" w:rsidP="00D9678B">
      <w:pPr>
        <w:jc w:val="both"/>
        <w:rPr>
          <w:rFonts w:ascii="Arial" w:hAnsi="Arial" w:cs="Arial"/>
          <w:b/>
          <w:bCs/>
          <w:sz w:val="22"/>
          <w:szCs w:val="22"/>
        </w:rPr>
      </w:pPr>
    </w:p>
    <w:p w14:paraId="6622315E" w14:textId="52F808E9" w:rsidR="00D23877" w:rsidRPr="00082D88" w:rsidRDefault="00D23877" w:rsidP="00D9678B">
      <w:pPr>
        <w:jc w:val="both"/>
        <w:rPr>
          <w:rFonts w:ascii="Arial" w:hAnsi="Arial" w:cs="Arial"/>
          <w:b/>
          <w:bCs/>
          <w:sz w:val="22"/>
          <w:szCs w:val="22"/>
        </w:rPr>
      </w:pPr>
      <w:r>
        <w:rPr>
          <w:rFonts w:ascii="Arial" w:hAnsi="Arial" w:cs="Arial"/>
          <w:b/>
          <w:bCs/>
          <w:sz w:val="22"/>
          <w:szCs w:val="22"/>
        </w:rPr>
        <w:t>The Candidate</w:t>
      </w:r>
    </w:p>
    <w:p w14:paraId="7A1A5B59" w14:textId="5D285AE5" w:rsidR="00082D88" w:rsidRPr="00082D88" w:rsidRDefault="00082D88" w:rsidP="00D9678B">
      <w:pPr>
        <w:jc w:val="both"/>
        <w:rPr>
          <w:rFonts w:ascii="Arial" w:hAnsi="Arial" w:cs="Arial"/>
          <w:sz w:val="22"/>
          <w:szCs w:val="22"/>
        </w:rPr>
      </w:pPr>
      <w:r w:rsidRPr="00082D88">
        <w:rPr>
          <w:rFonts w:ascii="Arial" w:hAnsi="Arial" w:cs="Arial"/>
          <w:sz w:val="22"/>
          <w:szCs w:val="22"/>
        </w:rPr>
        <w:t xml:space="preserve">Applicants must have </w:t>
      </w:r>
      <w:r w:rsidR="00D23877">
        <w:rPr>
          <w:rFonts w:ascii="Arial" w:hAnsi="Arial" w:cs="Arial"/>
          <w:sz w:val="22"/>
          <w:szCs w:val="22"/>
        </w:rPr>
        <w:t xml:space="preserve">(almost) completed a </w:t>
      </w:r>
      <w:r w:rsidRPr="00082D88">
        <w:rPr>
          <w:rFonts w:ascii="Arial" w:hAnsi="Arial" w:cs="Arial"/>
          <w:sz w:val="22"/>
          <w:szCs w:val="22"/>
        </w:rPr>
        <w:t xml:space="preserve">PhD in </w:t>
      </w:r>
      <w:r w:rsidR="00D23877">
        <w:rPr>
          <w:rFonts w:ascii="Arial" w:hAnsi="Arial" w:cs="Arial"/>
          <w:sz w:val="22"/>
          <w:szCs w:val="22"/>
        </w:rPr>
        <w:t>Genomics, Bioi</w:t>
      </w:r>
      <w:r w:rsidRPr="00082D88">
        <w:rPr>
          <w:rFonts w:ascii="Arial" w:hAnsi="Arial" w:cs="Arial"/>
          <w:sz w:val="22"/>
          <w:szCs w:val="22"/>
        </w:rPr>
        <w:t>nformatics or a related field</w:t>
      </w:r>
      <w:r w:rsidR="00D23877">
        <w:rPr>
          <w:rFonts w:ascii="Arial" w:hAnsi="Arial" w:cs="Arial"/>
          <w:sz w:val="22"/>
          <w:szCs w:val="22"/>
        </w:rPr>
        <w:t xml:space="preserve">, </w:t>
      </w:r>
      <w:r w:rsidRPr="00082D88">
        <w:rPr>
          <w:rFonts w:ascii="Arial" w:hAnsi="Arial" w:cs="Arial"/>
          <w:sz w:val="22"/>
          <w:szCs w:val="22"/>
        </w:rPr>
        <w:t>critical and independent thinking skills, enthusiasm to be part of a community that drives science forward and an ambition to succeed. Candidates should reach out to Dr. van Galen</w:t>
      </w:r>
      <w:r w:rsidR="00D23877">
        <w:rPr>
          <w:rFonts w:ascii="Arial" w:hAnsi="Arial" w:cs="Arial"/>
          <w:sz w:val="22"/>
          <w:szCs w:val="22"/>
        </w:rPr>
        <w:t xml:space="preserve"> (</w:t>
      </w:r>
      <w:hyperlink r:id="rId9" w:history="1">
        <w:r w:rsidR="00D23877" w:rsidRPr="00BA1FD8">
          <w:rPr>
            <w:rStyle w:val="Hyperlink"/>
            <w:rFonts w:ascii="Arial" w:hAnsi="Arial" w:cs="Arial"/>
            <w:sz w:val="22"/>
            <w:szCs w:val="22"/>
          </w:rPr>
          <w:t>pvangalen@bwh.harvard.edu</w:t>
        </w:r>
      </w:hyperlink>
      <w:r w:rsidR="00D23877">
        <w:rPr>
          <w:rFonts w:ascii="Arial" w:hAnsi="Arial" w:cs="Arial"/>
          <w:sz w:val="22"/>
          <w:szCs w:val="22"/>
        </w:rPr>
        <w:t>) with a curriculum vitae and reference contact details</w:t>
      </w:r>
      <w:r w:rsidRPr="00082D88">
        <w:rPr>
          <w:rFonts w:ascii="Arial" w:hAnsi="Arial" w:cs="Arial"/>
          <w:sz w:val="22"/>
          <w:szCs w:val="22"/>
        </w:rPr>
        <w:t>.</w:t>
      </w:r>
    </w:p>
    <w:p w14:paraId="6447AA4F" w14:textId="77777777" w:rsidR="001468CB" w:rsidRPr="00082D88" w:rsidRDefault="001468CB" w:rsidP="00D9678B">
      <w:pPr>
        <w:jc w:val="both"/>
        <w:rPr>
          <w:rFonts w:ascii="Arial" w:hAnsi="Arial" w:cs="Arial"/>
          <w:sz w:val="22"/>
          <w:szCs w:val="22"/>
        </w:rPr>
      </w:pPr>
    </w:p>
    <w:sectPr w:rsidR="001468CB" w:rsidRPr="00082D88" w:rsidSect="00037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88"/>
    <w:rsid w:val="00037E6E"/>
    <w:rsid w:val="0006196C"/>
    <w:rsid w:val="00082D88"/>
    <w:rsid w:val="00141639"/>
    <w:rsid w:val="001468CB"/>
    <w:rsid w:val="0016549D"/>
    <w:rsid w:val="002032E0"/>
    <w:rsid w:val="00251916"/>
    <w:rsid w:val="002B2775"/>
    <w:rsid w:val="00300D81"/>
    <w:rsid w:val="00354BA8"/>
    <w:rsid w:val="0036094C"/>
    <w:rsid w:val="004B3423"/>
    <w:rsid w:val="004C3248"/>
    <w:rsid w:val="004F4AA7"/>
    <w:rsid w:val="005067A2"/>
    <w:rsid w:val="00525264"/>
    <w:rsid w:val="0053341C"/>
    <w:rsid w:val="005555F1"/>
    <w:rsid w:val="005722FB"/>
    <w:rsid w:val="005B0AC7"/>
    <w:rsid w:val="005D68CE"/>
    <w:rsid w:val="005E605B"/>
    <w:rsid w:val="0060512E"/>
    <w:rsid w:val="00611141"/>
    <w:rsid w:val="00656DDE"/>
    <w:rsid w:val="00662F43"/>
    <w:rsid w:val="006D0187"/>
    <w:rsid w:val="00702DE9"/>
    <w:rsid w:val="007500F4"/>
    <w:rsid w:val="007B3DB0"/>
    <w:rsid w:val="007B702D"/>
    <w:rsid w:val="007F3FCA"/>
    <w:rsid w:val="00844A20"/>
    <w:rsid w:val="00871300"/>
    <w:rsid w:val="008C4AFD"/>
    <w:rsid w:val="008D0CA0"/>
    <w:rsid w:val="0091373A"/>
    <w:rsid w:val="0095038F"/>
    <w:rsid w:val="009B41D0"/>
    <w:rsid w:val="009E26CB"/>
    <w:rsid w:val="00A24B8F"/>
    <w:rsid w:val="00A3481A"/>
    <w:rsid w:val="00A4611B"/>
    <w:rsid w:val="00A5198A"/>
    <w:rsid w:val="00A7727D"/>
    <w:rsid w:val="00AB6F03"/>
    <w:rsid w:val="00B03DE5"/>
    <w:rsid w:val="00B04E9E"/>
    <w:rsid w:val="00B06193"/>
    <w:rsid w:val="00B553B2"/>
    <w:rsid w:val="00BF36C6"/>
    <w:rsid w:val="00BF6BDD"/>
    <w:rsid w:val="00C54264"/>
    <w:rsid w:val="00C7259F"/>
    <w:rsid w:val="00D23877"/>
    <w:rsid w:val="00D24767"/>
    <w:rsid w:val="00D32E80"/>
    <w:rsid w:val="00D41A86"/>
    <w:rsid w:val="00D46BF6"/>
    <w:rsid w:val="00D65D17"/>
    <w:rsid w:val="00D9285E"/>
    <w:rsid w:val="00D9678B"/>
    <w:rsid w:val="00E16ED4"/>
    <w:rsid w:val="00E377B5"/>
    <w:rsid w:val="00E45364"/>
    <w:rsid w:val="00E77947"/>
    <w:rsid w:val="00ED0148"/>
    <w:rsid w:val="00ED5B85"/>
    <w:rsid w:val="00F20F38"/>
    <w:rsid w:val="00F56374"/>
    <w:rsid w:val="00F623BF"/>
    <w:rsid w:val="00FE0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E196"/>
  <w15:chartTrackingRefBased/>
  <w15:docId w15:val="{3001C698-3818-8F47-AEAB-2C69BABB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3877"/>
    <w:rPr>
      <w:color w:val="0563C1" w:themeColor="hyperlink"/>
      <w:u w:val="single"/>
    </w:rPr>
  </w:style>
  <w:style w:type="character" w:styleId="UnresolvedMention">
    <w:name w:val="Unresolved Mention"/>
    <w:basedOn w:val="DefaultParagraphFont"/>
    <w:uiPriority w:val="99"/>
    <w:semiHidden/>
    <w:unhideWhenUsed/>
    <w:rsid w:val="00D23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pvangalen@bwh.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Galen, Peter</dc:creator>
  <cp:keywords/>
  <dc:description/>
  <cp:lastModifiedBy>van Galen, Peter</cp:lastModifiedBy>
  <cp:revision>9</cp:revision>
  <cp:lastPrinted>2020-02-05T18:38:00Z</cp:lastPrinted>
  <dcterms:created xsi:type="dcterms:W3CDTF">2020-02-05T17:30:00Z</dcterms:created>
  <dcterms:modified xsi:type="dcterms:W3CDTF">2020-02-05T18:44:00Z</dcterms:modified>
</cp:coreProperties>
</file>